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Remediação e decisão de prontidão   09 10 2026</w:t>
      </w:r>
    </w:p>
    <w:p>
      <w:r>
        <w:t>GO técnico para desenvolvimento local. Estágio confirmado pelo usuário: desenvolvimento. Aprovação das alterações e decisões declarada no chat. Branch nos dois repositórios: codex/audit-remediation.</w:t>
      </w:r>
    </w:p>
    <w:p>
      <w:pPr>
        <w:pStyle w:val="Heading1"/>
      </w:pPr>
      <w:r>
        <w:t>Evidência final</w:t>
      </w:r>
    </w:p>
    <w:p>
      <w:pPr>
        <w:pStyle w:val="Heading2"/>
      </w:pPr>
      <w:r>
        <w:t>Backend</w:t>
      </w:r>
    </w:p>
    <w:p>
      <w:pPr>
        <w:keepNext w:val="0"/>
      </w:pPr>
      <w:r>
        <w:rPr>
          <w:b/>
        </w:rPr>
        <w:t xml:space="preserve">Resultado: </w:t>
      </w:r>
      <w:r>
        <w:t>178 passed, 1 skipped; cobertura 95%</w:t>
      </w:r>
    </w:p>
    <w:p>
      <w:pPr>
        <w:pStyle w:val="Heading2"/>
      </w:pPr>
      <w:r>
        <w:t>Extensão</w:t>
      </w:r>
    </w:p>
    <w:p>
      <w:pPr>
        <w:keepNext w:val="0"/>
      </w:pPr>
      <w:r>
        <w:rPr>
          <w:b/>
        </w:rPr>
        <w:t xml:space="preserve">Resultado: </w:t>
      </w:r>
      <w:r>
        <w:t>196 passed; cobertura de linhas 96,57%, branches 90,75%</w:t>
      </w:r>
    </w:p>
    <w:p>
      <w:pPr>
        <w:pStyle w:val="Heading2"/>
      </w:pPr>
      <w:r>
        <w:t>E2E Chromium   backend local</w:t>
      </w:r>
    </w:p>
    <w:p>
      <w:pPr>
        <w:keepNext w:val="0"/>
      </w:pPr>
      <w:r>
        <w:rPr>
          <w:b/>
        </w:rPr>
        <w:t xml:space="preserve">Resultado: </w:t>
      </w:r>
      <w:r>
        <w:t>14 passed; 41,6 s</w:t>
      </w:r>
    </w:p>
    <w:p>
      <w:pPr>
        <w:pStyle w:val="Heading2"/>
      </w:pPr>
      <w:r>
        <w:t>TypeScript e builds</w:t>
      </w:r>
    </w:p>
    <w:p>
      <w:pPr>
        <w:keepNext w:val="0"/>
      </w:pPr>
      <w:r>
        <w:rPr>
          <w:b/>
        </w:rPr>
        <w:t xml:space="preserve">Resultado: </w:t>
      </w:r>
      <w:r>
        <w:t>Typecheck, desenvolvimento e produção com origem HTTPS de teste passaram</w:t>
      </w:r>
    </w:p>
    <w:p>
      <w:pPr>
        <w:pStyle w:val="Heading2"/>
      </w:pPr>
      <w:r>
        <w:t>Python</w:t>
      </w:r>
    </w:p>
    <w:p>
      <w:pPr>
        <w:keepNext w:val="0"/>
      </w:pPr>
      <w:r>
        <w:rPr>
          <w:b/>
        </w:rPr>
        <w:t xml:space="preserve">Resultado: </w:t>
      </w:r>
      <w:r>
        <w:t>Ruff para backend/scripts e build de wheel/sdist passaram</w:t>
      </w:r>
    </w:p>
    <w:p>
      <w:pPr>
        <w:pStyle w:val="Heading2"/>
      </w:pPr>
      <w:r>
        <w:t>Contratos e drift</w:t>
      </w:r>
    </w:p>
    <w:p>
      <w:pPr>
        <w:keepNext w:val="0"/>
      </w:pPr>
      <w:r>
        <w:rPr>
          <w:b/>
        </w:rPr>
        <w:t xml:space="preserve">Resultado: </w:t>
      </w:r>
      <w:r>
        <w:t>Contratos gerados idênticos; 0 apontamentos em todas as severidades</w:t>
      </w:r>
    </w:p>
    <w:p>
      <w:pPr>
        <w:pStyle w:val="Heading2"/>
      </w:pPr>
      <w:r>
        <w:t>Documentação</w:t>
      </w:r>
    </w:p>
    <w:p>
      <w:pPr>
        <w:keepNext w:val="0"/>
      </w:pPr>
      <w:r>
        <w:rPr>
          <w:b/>
        </w:rPr>
        <w:t xml:space="preserve">Resultado: </w:t>
      </w:r>
      <w:r>
        <w:t>MkDocs --strict, verificação de links ativos e padrão documental passaram</w:t>
      </w:r>
    </w:p>
    <w:p>
      <w:pPr>
        <w:pStyle w:val="Heading2"/>
      </w:pPr>
      <w:r>
        <w:t>Dependências</w:t>
      </w:r>
    </w:p>
    <w:p>
      <w:pPr>
        <w:keepNext w:val="0"/>
      </w:pPr>
      <w:r>
        <w:rPr>
          <w:b/>
        </w:rPr>
        <w:t xml:space="preserve">Resultado: </w:t>
      </w:r>
      <w:r>
        <w:t>npm e lock Python: 0 vulnerabilidades conhecidas na consulta realizada</w:t>
      </w:r>
    </w:p>
    <w:p>
      <w:pPr>
        <w:pStyle w:val="Heading2"/>
      </w:pPr>
      <w:r>
        <w:t>Mutações</w:t>
      </w:r>
    </w:p>
    <w:p>
      <w:pPr>
        <w:keepNext w:val="0"/>
      </w:pPr>
      <w:r>
        <w:rPr>
          <w:b/>
        </w:rPr>
        <w:t xml:space="preserve">Resultado: </w:t>
      </w:r>
      <w:r>
        <w:t>Sender, limite de corpo e catálogo de perguntas detectaram regressões introduzidas</w:t>
      </w:r>
    </w:p>
    <w:p>
      <w:pPr>
        <w:pStyle w:val="Heading2"/>
      </w:pPr>
      <w:r>
        <w:t>Notebook</w:t>
      </w:r>
    </w:p>
    <w:p>
      <w:pPr>
        <w:keepNext w:val="0"/>
      </w:pPr>
      <w:r>
        <w:rPr>
          <w:b/>
        </w:rPr>
        <w:t xml:space="preserve">Resultado: </w:t>
      </w:r>
      <w:r>
        <w:t>Todas as células executadas sem erro; modelo salvo/recarregado com inferência equivalente</w:t>
      </w:r>
    </w:p>
    <w:p>
      <w:r>
        <w:t>O teste ignorado exige Chroma/sentence-transformers opcionais, indisponíveis no ambiente. A consulta de advisories descreve o estado observado, sem garantia permanente. E2E usa fixtures e mock, sem chamadas pagas ou credenciais do usuário.</w:t>
      </w:r>
    </w:p>
    <w:p>
      <w:pPr>
        <w:pStyle w:val="Heading1"/>
      </w:pPr>
      <w:r>
        <w:t>Achados tratados</w:t>
      </w:r>
    </w:p>
    <w:p>
      <w:pPr>
        <w:pStyle w:val="Heading2"/>
      </w:pPr>
      <w:r>
        <w:t>AI 001</w:t>
      </w:r>
    </w:p>
    <w:p>
      <w:pPr>
        <w:keepNext w:val="0"/>
      </w:pPr>
      <w:r>
        <w:rPr>
          <w:b/>
        </w:rPr>
        <w:t xml:space="preserve">Correção: </w:t>
      </w:r>
      <w:r>
        <w:t>Catálogo finito neutro validado no backend e painel; respostas livres não chegam à interface.</w:t>
      </w:r>
    </w:p>
    <w:p>
      <w:pPr>
        <w:pStyle w:val="Heading2"/>
      </w:pPr>
      <w:r>
        <w:t>AI 002</w:t>
      </w:r>
    </w:p>
    <w:p>
      <w:pPr>
        <w:keepNext w:val="0"/>
      </w:pPr>
      <w:r>
        <w:rPr>
          <w:b/>
        </w:rPr>
        <w:t xml:space="preserve">Correção: </w:t>
      </w:r>
      <w:r>
        <w:t>Fallback usa trechos da transcrição; checagens recuperadas permanecem evidências contextuais.</w:t>
      </w:r>
    </w:p>
    <w:p>
      <w:pPr>
        <w:pStyle w:val="Heading2"/>
      </w:pPr>
      <w:r>
        <w:t>AI 003</w:t>
      </w:r>
    </w:p>
    <w:p>
      <w:pPr>
        <w:keepNext w:val="0"/>
      </w:pPr>
      <w:r>
        <w:rPr>
          <w:b/>
        </w:rPr>
        <w:t xml:space="preserve">Correção: </w:t>
      </w:r>
      <w:r>
        <w:t>Resultados externos contextualizam; relação factual local exige proposição normalizada idêntica.</w:t>
      </w:r>
    </w:p>
    <w:p>
      <w:pPr>
        <w:pStyle w:val="Heading2"/>
      </w:pPr>
      <w:r>
        <w:t>AI 004</w:t>
      </w:r>
    </w:p>
    <w:p>
      <w:pPr>
        <w:keepNext w:val="0"/>
      </w:pPr>
      <w:r>
        <w:rPr>
          <w:b/>
        </w:rPr>
        <w:t xml:space="preserve">Correção: </w:t>
      </w:r>
      <w:r>
        <w:t>Datas ausentes permanecem desconhecidas, sem substituir por data de consulta ou upload.</w:t>
      </w:r>
    </w:p>
    <w:p>
      <w:pPr>
        <w:pStyle w:val="Heading2"/>
      </w:pPr>
      <w:r>
        <w:t>AI 005</w:t>
      </w:r>
    </w:p>
    <w:p>
      <w:pPr>
        <w:keepNext w:val="0"/>
      </w:pPr>
      <w:r>
        <w:rPr>
          <w:b/>
        </w:rPr>
        <w:t xml:space="preserve">Correção: </w:t>
      </w:r>
      <w:r>
        <w:t>Timestamp provém de segmentos temporais válidos; timing ausente não vira zero.</w:t>
      </w:r>
    </w:p>
    <w:p>
      <w:pPr>
        <w:pStyle w:val="Heading2"/>
      </w:pPr>
      <w:r>
        <w:t>AI 006</w:t>
      </w:r>
    </w:p>
    <w:p>
      <w:pPr>
        <w:keepNext w:val="0"/>
      </w:pPr>
      <w:r>
        <w:rPr>
          <w:b/>
        </w:rPr>
        <w:t xml:space="preserve">Correção: </w:t>
      </w:r>
      <w:r>
        <w:t>Sem transferência de veredito por similaridade; negação/proposição divergente contextualiza.</w:t>
      </w:r>
    </w:p>
    <w:p>
      <w:pPr>
        <w:pStyle w:val="Heading2"/>
      </w:pPr>
      <w:r>
        <w:t>ARCH 001</w:t>
      </w:r>
    </w:p>
    <w:p>
      <w:pPr>
        <w:keepNext w:val="0"/>
      </w:pPr>
      <w:r>
        <w:rPr>
          <w:b/>
        </w:rPr>
        <w:t xml:space="preserve">Correção: </w:t>
      </w:r>
      <w:r>
        <w:t>Contratos JSON Schema e TypeScript gerados do Pydantic; extra/NaN recusados.</w:t>
      </w:r>
    </w:p>
    <w:p>
      <w:pPr>
        <w:pStyle w:val="Heading2"/>
      </w:pPr>
      <w:r>
        <w:t>EXT 001</w:t>
      </w:r>
    </w:p>
    <w:p>
      <w:pPr>
        <w:keepNext w:val="0"/>
      </w:pPr>
      <w:r>
        <w:rPr>
          <w:b/>
        </w:rPr>
        <w:t xml:space="preserve">Correção: </w:t>
      </w:r>
      <w:r>
        <w:t>401/403 dispara emissão/renovação e uma repetição limitada ao prazo original.</w:t>
      </w:r>
    </w:p>
    <w:p>
      <w:pPr>
        <w:pStyle w:val="Heading2"/>
      </w:pPr>
      <w:r>
        <w:t>SEC 001</w:t>
      </w:r>
    </w:p>
    <w:p>
      <w:pPr>
        <w:keepNext w:val="0"/>
      </w:pPr>
      <w:r>
        <w:rPr>
          <w:b/>
        </w:rPr>
        <w:t xml:space="preserve">Correção: </w:t>
      </w:r>
      <w:r>
        <w:t>Limite ASGI antes do parse cobre corpo declarado e streaming.</w:t>
      </w:r>
    </w:p>
    <w:p>
      <w:pPr>
        <w:pStyle w:val="Heading2"/>
      </w:pPr>
      <w:r>
        <w:t>SEC 002</w:t>
      </w:r>
    </w:p>
    <w:p>
      <w:pPr>
        <w:keepNext w:val="0"/>
      </w:pPr>
      <w:r>
        <w:rPr>
          <w:b/>
        </w:rPr>
        <w:t xml:space="preserve">Correção: </w:t>
      </w:r>
      <w:r>
        <w:t>Storage compartilhado configurável; memória bloqueada em produção; concorrência local testada.</w:t>
      </w:r>
    </w:p>
    <w:p>
      <w:pPr>
        <w:pStyle w:val="Heading2"/>
      </w:pPr>
      <w:r>
        <w:t>SEC 003</w:t>
      </w:r>
    </w:p>
    <w:p>
      <w:pPr>
        <w:keepNext w:val="0"/>
      </w:pPr>
      <w:r>
        <w:rPr>
          <w:b/>
        </w:rPr>
        <w:t xml:space="preserve">Correção: </w:t>
      </w:r>
      <w:r>
        <w:t>Docker multi-stage, usuário 10001 e runtime com hashes; imagem pendente de daemon.</w:t>
      </w:r>
    </w:p>
    <w:p>
      <w:pPr>
        <w:pStyle w:val="Heading2"/>
      </w:pPr>
      <w:r>
        <w:t>API 001</w:t>
      </w:r>
    </w:p>
    <w:p>
      <w:pPr>
        <w:keepNext w:val="0"/>
      </w:pPr>
      <w:r>
        <w:rPr>
          <w:b/>
        </w:rPr>
        <w:t xml:space="preserve">Correção: </w:t>
      </w:r>
      <w:r>
        <w:t>Enum de health alinhado; estado não promete sondagem remota inexistente.</w:t>
      </w:r>
    </w:p>
    <w:p>
      <w:pPr>
        <w:pStyle w:val="Heading2"/>
      </w:pPr>
      <w:r>
        <w:t>CI 001</w:t>
      </w:r>
    </w:p>
    <w:p>
      <w:pPr>
        <w:keepNext w:val="0"/>
      </w:pPr>
      <w:r>
        <w:rPr>
          <w:b/>
        </w:rPr>
        <w:t xml:space="preserve">Correção: </w:t>
      </w:r>
      <w:r>
        <w:t>Render requer CORS exato, segredo e storage provisionados; nenhum wildcard de produção.</w:t>
      </w:r>
    </w:p>
    <w:p>
      <w:pPr>
        <w:pStyle w:val="Heading2"/>
      </w:pPr>
      <w:r>
        <w:t>CI 002</w:t>
      </w:r>
    </w:p>
    <w:p>
      <w:pPr>
        <w:keepNext w:val="0"/>
      </w:pPr>
      <w:r>
        <w:rPr>
          <w:b/>
        </w:rPr>
        <w:t xml:space="preserve">Correção: </w:t>
      </w:r>
      <w:r>
        <w:t>Actions fixadas por SHA, permissões reduzidas e gate de contratos/drift; docs também corrigida.</w:t>
      </w:r>
    </w:p>
    <w:p>
      <w:pPr>
        <w:pStyle w:val="Heading2"/>
      </w:pPr>
      <w:r>
        <w:t>TEST 001</w:t>
      </w:r>
    </w:p>
    <w:p>
      <w:pPr>
        <w:keepNext w:val="0"/>
      </w:pPr>
      <w:r>
        <w:rPr>
          <w:b/>
        </w:rPr>
        <w:t xml:space="preserve">Correção: </w:t>
      </w:r>
      <w:r>
        <w:t>Teste aguarda fila assíncrona e verifica ausência de side effects; mutação detectada.</w:t>
      </w:r>
    </w:p>
    <w:p>
      <w:pPr>
        <w:pStyle w:val="Heading2"/>
      </w:pPr>
      <w:r>
        <w:t>DEP 001</w:t>
      </w:r>
    </w:p>
    <w:p>
      <w:pPr>
        <w:keepNext w:val="0"/>
      </w:pPr>
      <w:r>
        <w:rPr>
          <w:b/>
        </w:rPr>
        <w:t xml:space="preserve">Correção: </w:t>
      </w:r>
      <w:r>
        <w:t>Vite/Vitest e tipos atualizados; auditorias de runtime e desenvolvimento sem advisories conhecidos.</w:t>
      </w:r>
    </w:p>
    <w:p>
      <w:pPr>
        <w:pStyle w:val="Heading2"/>
      </w:pPr>
      <w:r>
        <w:t>DATA 001</w:t>
      </w:r>
    </w:p>
    <w:p>
      <w:pPr>
        <w:keepNext w:val="0"/>
      </w:pPr>
      <w:r>
        <w:rPr>
          <w:b/>
        </w:rPr>
        <w:t xml:space="preserve">Correção: </w:t>
      </w:r>
      <w:r>
        <w:t>Recall conta fração de relevantes e nDCG ranks reais; dados não anotados bloqueiam métricas.</w:t>
      </w:r>
    </w:p>
    <w:p>
      <w:pPr>
        <w:pStyle w:val="Heading2"/>
      </w:pPr>
      <w:r>
        <w:t>DATA 002</w:t>
      </w:r>
    </w:p>
    <w:p>
      <w:pPr>
        <w:keepNext w:val="0"/>
      </w:pPr>
      <w:r>
        <w:rPr>
          <w:b/>
        </w:rPr>
        <w:t xml:space="preserve">Correção: </w:t>
      </w:r>
      <w:r>
        <w:t>Timestamp real de carga e SHA256 do conteúdo canônico; fixtures bloqueadas em produção.</w:t>
      </w:r>
    </w:p>
    <w:p>
      <w:pPr>
        <w:pStyle w:val="Heading2"/>
      </w:pPr>
      <w:r>
        <w:t>DOC 001</w:t>
      </w:r>
    </w:p>
    <w:p>
      <w:pPr>
        <w:keepNext w:val="0"/>
      </w:pPr>
      <w:r>
        <w:rPr>
          <w:b/>
        </w:rPr>
        <w:t xml:space="preserve">Correção: </w:t>
      </w:r>
      <w:r>
        <w:t>READMEs operacionais enxutos; referências extensas preservadas com origem.</w:t>
      </w:r>
    </w:p>
    <w:p>
      <w:pPr>
        <w:pStyle w:val="Heading2"/>
      </w:pPr>
      <w:r>
        <w:t>DOC 002</w:t>
      </w:r>
    </w:p>
    <w:p>
      <w:pPr>
        <w:keepNext w:val="0"/>
      </w:pPr>
      <w:r>
        <w:rPr>
          <w:b/>
        </w:rPr>
        <w:t xml:space="preserve">Correção: </w:t>
      </w:r>
      <w:r>
        <w:t>Narrativas migradas para histórico no repo de documentação; relatórios operacionais mantidos.</w:t>
      </w:r>
    </w:p>
    <w:p>
      <w:pPr>
        <w:pStyle w:val="Heading1"/>
      </w:pPr>
      <w:r>
        <w:t>Proteções complementares</w:t>
      </w:r>
    </w:p>
    <w:p>
      <w:r>
        <w:t>Segredo de assinatura e autenticação obrigatórios em produção; aliases de ambiente conferidos; CORS exato preserva origem Chrome válida. Conteúdo inventado pelo extrator é descartado. Vocabulário com empates lexicais estáveis e JSON ordenado passaram em teste entre diferentes PYTHONHASHSEED. Cache foi versionado para invalidar resultados antigos incompatíveis. Evidence-Only não instancia o provedor. Amostras de demonstração não são servidas como evidência factual em produção. Erros públicos não expõem detalhes internos.</w:t>
      </w:r>
    </w:p>
    <w:p>
      <w:pPr>
        <w:pStyle w:val="Heading1"/>
      </w:pPr>
      <w:r>
        <w:t>Modelo e dados</w:t>
      </w:r>
    </w:p>
    <w:p>
      <w:r>
        <w:t>Modelo JSON treinado somente em 112 amostras, teste fixo de 27, seed 42. Acurácia 66,67%; macro F1 65,92%; baseline majoritário 51,85%. Houve 9 erros de predição. O modelo identifica padrões linguísticos e não comprova veracidade. Corpus local de 139 amostras com rótulos curados/fixtures; não equivale a um conjunto independente com anotações humanas. Métricas de recuperação não são declaradas sem gold set anotado.</w:t>
      </w:r>
    </w:p>
    <w:p>
      <w:pPr>
        <w:pStyle w:val="Heading1"/>
      </w:pPr>
      <w:r>
        <w:t>Limites da decisão</w:t>
      </w:r>
    </w:p>
    <w:p>
      <w:r>
        <w:t>Dockerfile corrigido, mas sem execução da imagem porque o daemon não está disponível. Redis multi-instância, hospedagem, LLM real e experiência com usuários exigem validação nos respectivos ambientes. O GO local não certifica produção nem qualidade factual independente. A chave exposta no chat não foi usada ou incluída nos arquivos; sua substituição continua sendo uma ação na conta do titular.</w:t>
      </w:r>
    </w:p>
    <w:p>
      <w:pPr>
        <w:pStyle w:val="Heading1"/>
      </w:pPr>
      <w:r>
        <w:t>Conteúdo entregue</w:t>
      </w:r>
    </w:p>
    <w:p>
      <w:r>
        <w:t>Notebook executado, modelo seguro em JSON, métricas e predições, CSV com partições, fontes declaradas, fixtures de recuperação, EDA, relatório técnico PDF/Markdown, Guiding Questions, requisitos, Scrum e catálogo/backlog de origem. Aprovações não foram convertidas em resultados de experimentos inexistentes.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EvidencIA  |  Entrega de desenvolvimento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Remediação e decisão de prontidão   09 10 2026</dc:title>
  <dc:subject>Entrega técnica de desenvolvimento com dados e evidências locais</dc:subject>
  <dc:creator>Equipe EvidencIA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