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EDA   exploração dos dados</w:t>
      </w:r>
    </w:p>
    <w:p>
      <w:r>
        <w:t>Dados: 139 linhas, 112 treino e 27 teste.</w:t>
      </w:r>
    </w:p>
    <w:p>
      <w:pPr>
        <w:pStyle w:val="ListBullet"/>
      </w:pPr>
      <w:r>
        <w:t>Rótulos: {"fake": 70, "true": 69}.</w:t>
      </w:r>
    </w:p>
    <w:p>
      <w:pPr>
        <w:pStyle w:val="ListBullet"/>
      </w:pPr>
      <w:r>
        <w:t>Categorias: {"saúde": 61, "ciência": 24, "economia": 23, "política": 18, "sociedade": 11, "educação": 1, "tecnologia": 1}.</w:t>
      </w:r>
    </w:p>
    <w:p>
      <w:pPr>
        <w:pStyle w:val="ListBullet"/>
      </w:pPr>
      <w:r>
        <w:t>Textos duplicados: 0.</w:t>
      </w:r>
    </w:p>
    <w:p>
      <w:pPr>
        <w:pStyle w:val="ListBullet"/>
      </w:pPr>
      <w:r>
        <w:t>Sobreposição literal treino/teste: 0.</w:t>
      </w:r>
    </w:p>
    <w:p>
      <w:pPr>
        <w:pStyle w:val="ListBullet"/>
      </w:pPr>
      <w:r>
        <w:t>Comprimento médio: 15.25 palavras por frase.</w:t>
      </w:r>
    </w:p>
    <w:p>
      <w:r>
        <w:t>A ausência de duplicação literal não elimina vazamento semântico. O tamanho pequeno limita generalização. eda/distribuicoes.png, eda/confusao.png e eda/summary.json acompanham o notebook executado. As distribuições são do corpus local; não representam frequência de desinformação na população ou no YouTube.</w:t>
      </w:r>
    </w:p>
    <w:p>
      <w:r>
        <w:t>Acurácia de teste: 66.67%. Macro F1: 65.92%. O baseline majoritário obtém 51.85%. As 27 predições individuais estão em modelo/test_predictions.csv. Recall de retrieval não foi calculado sem anotações humanas.</w:t>
      </w:r>
    </w:p>
    <w:p>
      <w:pPr>
        <w:pStyle w:val="Heading1"/>
      </w:pPr>
      <w:r>
        <w:t>Distribuições do corpus local</w:t>
      </w:r>
    </w:p>
    <w:p>
      <w:r>
        <w:drawing>
          <wp:inline xmlns:a="http://schemas.openxmlformats.org/drawingml/2006/main" xmlns:pic="http://schemas.openxmlformats.org/drawingml/2006/picture">
            <wp:extent cx="6035040" cy="180054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istribuicoes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18005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Matriz de confusão no teste</w:t>
      </w:r>
    </w:p>
    <w:p>
      <w:r>
        <w:drawing>
          <wp:inline xmlns:a="http://schemas.openxmlformats.org/drawingml/2006/main" xmlns:pic="http://schemas.openxmlformats.org/drawingml/2006/picture">
            <wp:extent cx="4023360" cy="408296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nfusa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23360" cy="4082965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EvidencIA  |  Entrega de desenvolvimento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Lines/>
      <w:spacing w:after="120"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EDA   exploração dos dados</dc:title>
  <dc:subject>Entrega técnica de desenvolvimento com dados e evidências locais</dc:subject>
  <dc:creator>Equipe EvidencIA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